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36" w:rsidRDefault="00AD3236" w:rsidP="0039734B">
      <w:pPr>
        <w:tabs>
          <w:tab w:val="left" w:pos="146"/>
          <w:tab w:val="left" w:pos="571"/>
          <w:tab w:val="left" w:pos="10440"/>
        </w:tabs>
        <w:bidi/>
        <w:spacing w:after="0"/>
        <w:ind w:left="18"/>
        <w:jc w:val="center"/>
        <w:rPr>
          <w:rFonts w:ascii="Traditional Arabic" w:hAnsi="Traditional Arabic" w:cs="Traditional Arabic"/>
          <w:b/>
          <w:bCs/>
          <w:sz w:val="34"/>
          <w:szCs w:val="34"/>
          <w:rtl/>
          <w:lang w:bidi="ar-LB"/>
        </w:rPr>
      </w:pPr>
      <w:r>
        <w:rPr>
          <w:rFonts w:ascii="Traditional Arabic" w:hAnsi="Traditional Arabic" w:cs="Traditional Arabic" w:hint="cs"/>
          <w:b/>
          <w:bCs/>
          <w:sz w:val="34"/>
          <w:szCs w:val="34"/>
          <w:rtl/>
          <w:lang w:bidi="ar-LB"/>
        </w:rPr>
        <w:t>بسم الله الرحمن الرحيم</w:t>
      </w:r>
    </w:p>
    <w:p w:rsidR="00AD3236" w:rsidRDefault="00AD3236" w:rsidP="00AD3236">
      <w:pPr>
        <w:tabs>
          <w:tab w:val="left" w:pos="146"/>
          <w:tab w:val="left" w:pos="571"/>
          <w:tab w:val="left" w:pos="10440"/>
        </w:tabs>
        <w:bidi/>
        <w:spacing w:after="0"/>
        <w:ind w:left="18"/>
        <w:jc w:val="center"/>
        <w:rPr>
          <w:rFonts w:ascii="Traditional Arabic" w:hAnsi="Traditional Arabic" w:cs="Traditional Arabic"/>
          <w:b/>
          <w:bCs/>
          <w:sz w:val="34"/>
          <w:szCs w:val="34"/>
          <w:rtl/>
          <w:lang w:bidi="ar-LB"/>
        </w:rPr>
      </w:pPr>
    </w:p>
    <w:p w:rsidR="0039734B" w:rsidRPr="00FD1F7E" w:rsidRDefault="0039734B" w:rsidP="00AD3236">
      <w:pPr>
        <w:tabs>
          <w:tab w:val="left" w:pos="146"/>
          <w:tab w:val="left" w:pos="571"/>
          <w:tab w:val="left" w:pos="10440"/>
        </w:tabs>
        <w:bidi/>
        <w:spacing w:after="0"/>
        <w:ind w:left="18"/>
        <w:jc w:val="center"/>
        <w:rPr>
          <w:rFonts w:ascii="Traditional Arabic" w:hAnsi="Traditional Arabic" w:cs="Traditional Arabic"/>
          <w:b/>
          <w:bCs/>
          <w:sz w:val="34"/>
          <w:szCs w:val="34"/>
          <w:rtl/>
          <w:lang w:bidi="ar-LB"/>
        </w:rPr>
      </w:pPr>
      <w:r w:rsidRPr="00FD1F7E">
        <w:rPr>
          <w:rFonts w:ascii="Traditional Arabic" w:hAnsi="Traditional Arabic" w:cs="Traditional Arabic" w:hint="cs"/>
          <w:b/>
          <w:bCs/>
          <w:sz w:val="34"/>
          <w:szCs w:val="34"/>
          <w:rtl/>
          <w:lang w:bidi="ar-LB"/>
        </w:rPr>
        <w:t>التحديات التي واجهت عملية التأسيس لبناء فلسفة</w:t>
      </w:r>
      <w:r>
        <w:rPr>
          <w:rFonts w:ascii="Traditional Arabic" w:hAnsi="Traditional Arabic" w:cs="Traditional Arabic" w:hint="cs"/>
          <w:b/>
          <w:bCs/>
          <w:sz w:val="34"/>
          <w:szCs w:val="34"/>
          <w:rtl/>
          <w:lang w:bidi="ar-LB"/>
        </w:rPr>
        <w:t xml:space="preserve"> التربية </w:t>
      </w:r>
      <w:r w:rsidR="001C7A92">
        <w:rPr>
          <w:rFonts w:ascii="Traditional Arabic" w:hAnsi="Traditional Arabic" w:cs="Traditional Arabic" w:hint="cs"/>
          <w:b/>
          <w:bCs/>
          <w:sz w:val="34"/>
          <w:szCs w:val="34"/>
          <w:rtl/>
          <w:lang w:bidi="ar-LB"/>
        </w:rPr>
        <w:t>ال</w:t>
      </w:r>
      <w:r w:rsidR="00AD3236">
        <w:rPr>
          <w:rFonts w:ascii="Traditional Arabic" w:hAnsi="Traditional Arabic" w:cs="Traditional Arabic" w:hint="cs"/>
          <w:b/>
          <w:bCs/>
          <w:sz w:val="34"/>
          <w:szCs w:val="34"/>
          <w:rtl/>
          <w:lang w:bidi="ar-LB"/>
        </w:rPr>
        <w:t>إسلامية</w:t>
      </w:r>
      <w:r w:rsidR="001C7A92">
        <w:rPr>
          <w:rFonts w:ascii="Traditional Arabic" w:hAnsi="Traditional Arabic" w:cs="Traditional Arabic" w:hint="cs"/>
          <w:b/>
          <w:bCs/>
          <w:sz w:val="34"/>
          <w:szCs w:val="34"/>
          <w:rtl/>
          <w:lang w:bidi="ar-LB"/>
        </w:rPr>
        <w:t xml:space="preserve"> الأصيلة</w:t>
      </w:r>
    </w:p>
    <w:p w:rsidR="002362ED" w:rsidRDefault="002362ED" w:rsidP="0039734B">
      <w:pPr>
        <w:tabs>
          <w:tab w:val="left" w:pos="146"/>
          <w:tab w:val="left" w:pos="571"/>
          <w:tab w:val="left" w:pos="10440"/>
        </w:tabs>
        <w:bidi/>
        <w:spacing w:after="0"/>
        <w:ind w:left="18"/>
        <w:jc w:val="lowKashida"/>
        <w:rPr>
          <w:rFonts w:ascii="Traditional Arabic" w:hAnsi="Traditional Arabic" w:cs="Traditional Arabic"/>
          <w:b/>
          <w:bCs/>
          <w:sz w:val="34"/>
          <w:szCs w:val="34"/>
          <w:rtl/>
          <w:lang w:bidi="ar-LB"/>
        </w:rPr>
      </w:pPr>
    </w:p>
    <w:p w:rsidR="0039734B" w:rsidRDefault="00AD3236" w:rsidP="002362ED">
      <w:pPr>
        <w:tabs>
          <w:tab w:val="left" w:pos="146"/>
          <w:tab w:val="left" w:pos="571"/>
          <w:tab w:val="left" w:pos="10440"/>
        </w:tabs>
        <w:bidi/>
        <w:spacing w:after="0"/>
        <w:ind w:left="18"/>
        <w:jc w:val="lowKashida"/>
        <w:rPr>
          <w:rFonts w:ascii="Traditional Arabic" w:hAnsi="Traditional Arabic" w:cs="Traditional Arabic"/>
          <w:b/>
          <w:bCs/>
          <w:sz w:val="34"/>
          <w:szCs w:val="34"/>
          <w:rtl/>
          <w:lang w:bidi="ar-LB"/>
        </w:rPr>
      </w:pPr>
      <w:r w:rsidRPr="00AD3236">
        <w:rPr>
          <w:rFonts w:ascii="Traditional Arabic" w:hAnsi="Traditional Arabic" w:cs="Traditional Arabic" w:hint="cs"/>
          <w:b/>
          <w:bCs/>
          <w:sz w:val="34"/>
          <w:szCs w:val="34"/>
          <w:rtl/>
          <w:lang w:bidi="ar-LB"/>
        </w:rPr>
        <w:t>إعداد: عباس كنعان</w:t>
      </w:r>
    </w:p>
    <w:p w:rsidR="002362ED" w:rsidRPr="00AD3236" w:rsidRDefault="002362ED" w:rsidP="002362ED">
      <w:pPr>
        <w:tabs>
          <w:tab w:val="left" w:pos="146"/>
          <w:tab w:val="left" w:pos="571"/>
          <w:tab w:val="left" w:pos="10440"/>
        </w:tabs>
        <w:bidi/>
        <w:spacing w:after="0"/>
        <w:ind w:left="18"/>
        <w:jc w:val="lowKashida"/>
        <w:rPr>
          <w:rFonts w:ascii="Traditional Arabic" w:hAnsi="Traditional Arabic" w:cs="Traditional Arabic"/>
          <w:b/>
          <w:bCs/>
          <w:sz w:val="34"/>
          <w:szCs w:val="34"/>
          <w:rtl/>
          <w:lang w:bidi="ar-LB"/>
        </w:rPr>
      </w:pPr>
    </w:p>
    <w:p w:rsidR="0039734B" w:rsidRDefault="0039734B" w:rsidP="0039734B">
      <w:pPr>
        <w:tabs>
          <w:tab w:val="left" w:pos="146"/>
          <w:tab w:val="left" w:pos="571"/>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لقد واجهت عملية التأسيس لبناء فلسفة التربية الإسلامية مجموعة من التحديات أبرزها:</w:t>
      </w:r>
    </w:p>
    <w:p w:rsidR="0039734B" w:rsidRDefault="0039734B" w:rsidP="008A3AA1">
      <w:pPr>
        <w:tabs>
          <w:tab w:val="left" w:pos="146"/>
          <w:tab w:val="left" w:pos="571"/>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 xml:space="preserve">-الإشكالية الاجتهادية: بعد إجراء دراسة عامة للمسار التاريخي للفكر الإسلامي يتبيّن لنا أنّ هناك </w:t>
      </w:r>
      <w:r w:rsidR="008A3AA1">
        <w:rPr>
          <w:rFonts w:ascii="Traditional Arabic" w:hAnsi="Traditional Arabic" w:cs="Traditional Arabic" w:hint="cs"/>
          <w:sz w:val="34"/>
          <w:szCs w:val="34"/>
          <w:rtl/>
          <w:lang w:bidi="ar-LB"/>
        </w:rPr>
        <w:t>أربع</w:t>
      </w:r>
      <w:r>
        <w:rPr>
          <w:rFonts w:ascii="Traditional Arabic" w:hAnsi="Traditional Arabic" w:cs="Traditional Arabic" w:hint="cs"/>
          <w:sz w:val="34"/>
          <w:szCs w:val="34"/>
          <w:rtl/>
          <w:lang w:bidi="ar-LB"/>
        </w:rPr>
        <w:t xml:space="preserve"> محطات رئيسة:</w:t>
      </w:r>
    </w:p>
    <w:p w:rsidR="008A3AA1" w:rsidRDefault="008A3AA1" w:rsidP="008A3AA1">
      <w:pPr>
        <w:tabs>
          <w:tab w:val="left" w:pos="146"/>
          <w:tab w:val="left" w:pos="571"/>
          <w:tab w:val="left" w:pos="10440"/>
        </w:tabs>
        <w:bidi/>
        <w:spacing w:after="0"/>
        <w:ind w:left="18"/>
        <w:jc w:val="lowKashida"/>
        <w:rPr>
          <w:rFonts w:ascii="Traditional Arabic" w:hAnsi="Traditional Arabic" w:cs="Traditional Arabic"/>
          <w:b/>
          <w:bCs/>
          <w:sz w:val="34"/>
          <w:szCs w:val="34"/>
          <w:rtl/>
          <w:lang w:bidi="ar-LB"/>
        </w:rPr>
      </w:pPr>
      <w:r>
        <w:rPr>
          <w:rFonts w:ascii="Traditional Arabic" w:hAnsi="Traditional Arabic" w:cs="Traditional Arabic" w:hint="cs"/>
          <w:b/>
          <w:bCs/>
          <w:sz w:val="34"/>
          <w:szCs w:val="34"/>
          <w:rtl/>
          <w:lang w:bidi="ar-LB"/>
        </w:rPr>
        <w:t>-</w:t>
      </w:r>
      <w:r w:rsidR="0039734B" w:rsidRPr="00772621">
        <w:rPr>
          <w:rFonts w:ascii="Traditional Arabic" w:hAnsi="Traditional Arabic" w:cs="Traditional Arabic" w:hint="cs"/>
          <w:b/>
          <w:bCs/>
          <w:sz w:val="34"/>
          <w:szCs w:val="34"/>
          <w:rtl/>
          <w:lang w:bidi="ar-LB"/>
        </w:rPr>
        <w:t>المحطة الأولى:</w:t>
      </w:r>
      <w:r w:rsidR="0039734B">
        <w:rPr>
          <w:rFonts w:ascii="Traditional Arabic" w:hAnsi="Traditional Arabic" w:cs="Traditional Arabic" w:hint="cs"/>
          <w:sz w:val="34"/>
          <w:szCs w:val="34"/>
          <w:rtl/>
          <w:lang w:bidi="ar-LB"/>
        </w:rPr>
        <w:t xml:space="preserve"> عصر النص، حيث امتد من تاريخ بداية الدعوة النبويّة للنبي محمد (صلى الله عليه وآله وسلم)، أي عصر الوحي، فتجلَّى ذلك </w:t>
      </w:r>
      <w:r w:rsidR="0039734B" w:rsidRPr="00FD1F7E">
        <w:rPr>
          <w:rFonts w:ascii="Traditional Arabic" w:hAnsi="Traditional Arabic" w:cs="Traditional Arabic" w:hint="cs"/>
          <w:b/>
          <w:bCs/>
          <w:sz w:val="34"/>
          <w:szCs w:val="34"/>
          <w:rtl/>
          <w:lang w:bidi="ar-LB"/>
        </w:rPr>
        <w:t>بنحوين</w:t>
      </w:r>
      <w:r>
        <w:rPr>
          <w:rFonts w:ascii="Traditional Arabic" w:hAnsi="Traditional Arabic" w:cs="Traditional Arabic" w:hint="cs"/>
          <w:b/>
          <w:bCs/>
          <w:sz w:val="34"/>
          <w:szCs w:val="34"/>
          <w:rtl/>
          <w:lang w:bidi="ar-LB"/>
        </w:rPr>
        <w:t>:</w:t>
      </w:r>
    </w:p>
    <w:p w:rsidR="008A3AA1" w:rsidRDefault="0039734B" w:rsidP="008F5AAF">
      <w:pPr>
        <w:tabs>
          <w:tab w:val="left" w:pos="146"/>
          <w:tab w:val="left" w:pos="571"/>
          <w:tab w:val="left" w:pos="10440"/>
        </w:tabs>
        <w:bidi/>
        <w:spacing w:after="0"/>
        <w:ind w:left="18"/>
        <w:jc w:val="lowKashida"/>
        <w:rPr>
          <w:rFonts w:ascii="Traditional Arabic" w:hAnsi="Traditional Arabic" w:cs="Traditional Arabic"/>
          <w:sz w:val="34"/>
          <w:szCs w:val="34"/>
          <w:rtl/>
          <w:lang w:bidi="ar-LB"/>
        </w:rPr>
      </w:pPr>
      <w:r w:rsidRPr="00FD1F7E">
        <w:rPr>
          <w:rFonts w:ascii="Traditional Arabic" w:hAnsi="Traditional Arabic" w:cs="Traditional Arabic" w:hint="cs"/>
          <w:b/>
          <w:bCs/>
          <w:sz w:val="34"/>
          <w:szCs w:val="34"/>
          <w:rtl/>
          <w:lang w:bidi="ar-LB"/>
        </w:rPr>
        <w:t>الأوّل</w:t>
      </w:r>
      <w:r>
        <w:rPr>
          <w:rFonts w:ascii="Traditional Arabic" w:hAnsi="Traditional Arabic" w:cs="Traditional Arabic" w:hint="cs"/>
          <w:sz w:val="34"/>
          <w:szCs w:val="34"/>
          <w:rtl/>
          <w:lang w:bidi="ar-LB"/>
        </w:rPr>
        <w:t xml:space="preserve"> الآيات القرآنية التي </w:t>
      </w:r>
      <w:r w:rsidR="008F5AAF">
        <w:rPr>
          <w:rFonts w:ascii="Traditional Arabic" w:hAnsi="Traditional Arabic" w:cs="Traditional Arabic" w:hint="cs"/>
          <w:sz w:val="34"/>
          <w:szCs w:val="34"/>
          <w:rtl/>
          <w:lang w:bidi="ar-LB"/>
        </w:rPr>
        <w:t>أنزلها الله تبارك وتعالى</w:t>
      </w:r>
      <w:r>
        <w:rPr>
          <w:rFonts w:ascii="Traditional Arabic" w:hAnsi="Traditional Arabic" w:cs="Traditional Arabic" w:hint="cs"/>
          <w:sz w:val="34"/>
          <w:szCs w:val="34"/>
          <w:rtl/>
          <w:lang w:bidi="ar-LB"/>
        </w:rPr>
        <w:t xml:space="preserve"> على رسول الله</w:t>
      </w:r>
      <w:r w:rsidRPr="000A18A0">
        <w:rPr>
          <w:rFonts w:ascii="Traditional Arabic" w:hAnsi="Traditional Arabic" w:cs="Traditional Arabic" w:hint="cs"/>
          <w:sz w:val="34"/>
          <w:szCs w:val="34"/>
          <w:rtl/>
          <w:lang w:bidi="ar-LB"/>
        </w:rPr>
        <w:t xml:space="preserve"> </w:t>
      </w:r>
      <w:r>
        <w:rPr>
          <w:rFonts w:ascii="Traditional Arabic" w:hAnsi="Traditional Arabic" w:cs="Traditional Arabic" w:hint="cs"/>
          <w:sz w:val="34"/>
          <w:szCs w:val="34"/>
          <w:rtl/>
          <w:lang w:bidi="ar-LB"/>
        </w:rPr>
        <w:t>محمد (صلى الله عليه وآله وسلم)، وألقاها على مسامع أصحابه، حيث حرص رسول الله</w:t>
      </w:r>
      <w:r w:rsidRPr="000A18A0">
        <w:rPr>
          <w:rFonts w:ascii="Traditional Arabic" w:hAnsi="Traditional Arabic" w:cs="Traditional Arabic" w:hint="cs"/>
          <w:sz w:val="34"/>
          <w:szCs w:val="34"/>
          <w:rtl/>
          <w:lang w:bidi="ar-LB"/>
        </w:rPr>
        <w:t xml:space="preserve"> </w:t>
      </w:r>
      <w:r>
        <w:rPr>
          <w:rFonts w:ascii="Traditional Arabic" w:hAnsi="Traditional Arabic" w:cs="Traditional Arabic" w:hint="cs"/>
          <w:sz w:val="34"/>
          <w:szCs w:val="34"/>
          <w:rtl/>
          <w:lang w:bidi="ar-LB"/>
        </w:rPr>
        <w:t>محمد (صلى الله عليه وآله وسلم)</w:t>
      </w:r>
      <w:r w:rsidR="001F19E1">
        <w:rPr>
          <w:rStyle w:val="FootnoteReference"/>
          <w:rFonts w:ascii="Traditional Arabic" w:hAnsi="Traditional Arabic" w:cs="Traditional Arabic"/>
          <w:sz w:val="34"/>
          <w:szCs w:val="34"/>
          <w:rtl/>
          <w:lang w:bidi="ar-LB"/>
        </w:rPr>
        <w:footnoteReference w:id="1"/>
      </w:r>
      <w:r>
        <w:rPr>
          <w:rFonts w:ascii="Traditional Arabic" w:hAnsi="Traditional Arabic" w:cs="Traditional Arabic" w:hint="cs"/>
          <w:sz w:val="34"/>
          <w:szCs w:val="34"/>
          <w:rtl/>
          <w:lang w:bidi="ar-LB"/>
        </w:rPr>
        <w:t>، على حفظها وشرح مقاصدها، وكذلك كانت موردًا لإفهام أبناء عصره وقوام مجتمعه بالحجج، والبيان وقوة متانته، وإنبائه عن الغيبيات، وقصص الماضين من الأمم التي خلت، ومصدرًا لاستلهام العقيدة، والإيمان الحقيقي، والمعرفة الدينية الحقة</w:t>
      </w:r>
      <w:r w:rsidR="008A3AA1">
        <w:rPr>
          <w:rFonts w:ascii="Traditional Arabic" w:hAnsi="Traditional Arabic" w:cs="Traditional Arabic" w:hint="cs"/>
          <w:sz w:val="34"/>
          <w:szCs w:val="34"/>
          <w:rtl/>
          <w:lang w:bidi="ar-LB"/>
        </w:rPr>
        <w:t>.</w:t>
      </w:r>
    </w:p>
    <w:p w:rsidR="0039734B" w:rsidRDefault="0039734B" w:rsidP="008A3AA1">
      <w:pPr>
        <w:tabs>
          <w:tab w:val="left" w:pos="146"/>
          <w:tab w:val="left" w:pos="571"/>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 xml:space="preserve"> </w:t>
      </w:r>
      <w:r w:rsidRPr="00FD1F7E">
        <w:rPr>
          <w:rFonts w:ascii="Traditional Arabic" w:hAnsi="Traditional Arabic" w:cs="Traditional Arabic" w:hint="cs"/>
          <w:b/>
          <w:bCs/>
          <w:sz w:val="34"/>
          <w:szCs w:val="34"/>
          <w:rtl/>
          <w:lang w:bidi="ar-LB"/>
        </w:rPr>
        <w:t>والنحو الثاني</w:t>
      </w:r>
      <w:r>
        <w:rPr>
          <w:rFonts w:ascii="Traditional Arabic" w:hAnsi="Traditional Arabic" w:cs="Traditional Arabic" w:hint="cs"/>
          <w:sz w:val="34"/>
          <w:szCs w:val="34"/>
          <w:rtl/>
          <w:lang w:bidi="ar-LB"/>
        </w:rPr>
        <w:t xml:space="preserve"> الروايات والأحاديث التي نطق بها رسول الله</w:t>
      </w:r>
      <w:r w:rsidRPr="000A18A0">
        <w:rPr>
          <w:rFonts w:ascii="Traditional Arabic" w:hAnsi="Traditional Arabic" w:cs="Traditional Arabic" w:hint="cs"/>
          <w:sz w:val="34"/>
          <w:szCs w:val="34"/>
          <w:rtl/>
          <w:lang w:bidi="ar-LB"/>
        </w:rPr>
        <w:t xml:space="preserve"> </w:t>
      </w:r>
      <w:r>
        <w:rPr>
          <w:rFonts w:ascii="Traditional Arabic" w:hAnsi="Traditional Arabic" w:cs="Traditional Arabic" w:hint="cs"/>
          <w:sz w:val="34"/>
          <w:szCs w:val="34"/>
          <w:rtl/>
          <w:lang w:bidi="ar-LB"/>
        </w:rPr>
        <w:t xml:space="preserve">محمد (صلى الله عليه وآله وسلم)، والتي يمكن التعدي بها إلى فعل وتقرير النبي (صلى الله عليه وآله وسلم)، كونه المعصوم الذي لا يقوم إلا بما يتلاءم مع مقتضى عصمته، حيث لم يكن في هذه المرحلة من مسار اجتهادي سوى استنطاق الرسول (صلى الله عليه وآله وسلم) عن مقاصد هذه الآيات والرويات والمواقف المختلفة، علمًا أن هناك فرق بين الاجتهاد على </w:t>
      </w:r>
      <w:r>
        <w:rPr>
          <w:rFonts w:ascii="Traditional Arabic" w:hAnsi="Traditional Arabic" w:cs="Traditional Arabic" w:hint="cs"/>
          <w:sz w:val="34"/>
          <w:szCs w:val="34"/>
          <w:rtl/>
          <w:lang w:bidi="ar-LB"/>
        </w:rPr>
        <w:lastRenderedPageBreak/>
        <w:t>المستوى القضايا العقائدية، والاجتهاد على مستوى القضايا الفقهية، حيث أنّ الأول قد بدأ من بدايات الدعوة، وبدى ظاهرًا فيما بعد بالمدارس العقائدية الثلاث(المعتزلة، الأشعرية، والإثني عشرية) بينما الثاني(الاجتهاد الفقهي) تأخر إلى مرحلة أخرى</w:t>
      </w:r>
      <w:r w:rsidR="00013BFC">
        <w:rPr>
          <w:rStyle w:val="FootnoteReference"/>
          <w:rFonts w:ascii="Traditional Arabic" w:hAnsi="Traditional Arabic" w:cs="Traditional Arabic"/>
          <w:sz w:val="34"/>
          <w:szCs w:val="34"/>
          <w:rtl/>
          <w:lang w:bidi="ar-LB"/>
        </w:rPr>
        <w:footnoteReference w:id="2"/>
      </w:r>
      <w:r>
        <w:rPr>
          <w:rFonts w:ascii="Traditional Arabic" w:hAnsi="Traditional Arabic" w:cs="Traditional Arabic" w:hint="cs"/>
          <w:sz w:val="34"/>
          <w:szCs w:val="34"/>
          <w:rtl/>
          <w:lang w:bidi="ar-LB"/>
        </w:rPr>
        <w:t>.</w:t>
      </w:r>
    </w:p>
    <w:p w:rsidR="0039734B" w:rsidRDefault="008A3AA1" w:rsidP="0039734B">
      <w:pPr>
        <w:tabs>
          <w:tab w:val="left" w:pos="146"/>
          <w:tab w:val="left" w:pos="571"/>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b/>
          <w:bCs/>
          <w:sz w:val="34"/>
          <w:szCs w:val="34"/>
          <w:rtl/>
          <w:lang w:bidi="ar-LB"/>
        </w:rPr>
        <w:t>-</w:t>
      </w:r>
      <w:r w:rsidR="0039734B">
        <w:rPr>
          <w:rFonts w:ascii="Traditional Arabic" w:hAnsi="Traditional Arabic" w:cs="Traditional Arabic" w:hint="cs"/>
          <w:b/>
          <w:bCs/>
          <w:sz w:val="34"/>
          <w:szCs w:val="34"/>
          <w:rtl/>
          <w:lang w:bidi="ar-LB"/>
        </w:rPr>
        <w:t>المحطة الثانية:</w:t>
      </w:r>
      <w:r w:rsidR="0039734B">
        <w:rPr>
          <w:rFonts w:ascii="Traditional Arabic" w:hAnsi="Traditional Arabic" w:cs="Traditional Arabic" w:hint="cs"/>
          <w:sz w:val="34"/>
          <w:szCs w:val="34"/>
          <w:rtl/>
          <w:lang w:bidi="ar-LB"/>
        </w:rPr>
        <w:t xml:space="preserve"> والتي بدأت بعد رحيل رسول الله (صلى الله عليه وآله وسلم)، حيث ذهبت الإمامية إلى الاقتداء بالأئمة الإثنى عشر (عليهم السلام)، ولم يكن للاجتهاد دورًا بارزًا عندهم في ظل وجود المعصوم الذي يتولى بيان القضايا العقائدية والأحكام وقواعد الإسلام وتطبيقاتها العملية في مختلف الموارد، بينما ذهب </w:t>
      </w:r>
      <w:r w:rsidR="001C7A92">
        <w:rPr>
          <w:rFonts w:ascii="Traditional Arabic" w:hAnsi="Traditional Arabic" w:cs="Traditional Arabic" w:hint="cs"/>
          <w:sz w:val="34"/>
          <w:szCs w:val="34"/>
          <w:rtl/>
          <w:lang w:bidi="ar-LB"/>
        </w:rPr>
        <w:t xml:space="preserve">أهل </w:t>
      </w:r>
      <w:r w:rsidR="0039734B">
        <w:rPr>
          <w:rFonts w:ascii="Traditional Arabic" w:hAnsi="Traditional Arabic" w:cs="Traditional Arabic" w:hint="cs"/>
          <w:sz w:val="34"/>
          <w:szCs w:val="34"/>
          <w:rtl/>
          <w:lang w:bidi="ar-LB"/>
        </w:rPr>
        <w:t>السنة إلى مسألة الاجتهاد الفقهي في فهم الأحكام وتفسير مقاصد النص الديني، وقد اتخذت مدارس عديدة من القياس والاستحسان في الموارد التي لا يوجد نص عليها، فقد نشأت المدارس الأربعة (الحنبلية، الشافعية، الحنفية، والمالكية)، أما في الجانب العقائدي فقد استكملت الشيعة الإثني عشرية مرجعيتها للإمام المعصوم، بينما أخذت المدارس السنية تفترق في الإلتحاق بالفرقتين الكلاميتين(الأشعرية والمعتزلة).</w:t>
      </w:r>
    </w:p>
    <w:p w:rsidR="00107CFD" w:rsidRDefault="00107CFD" w:rsidP="0039734B">
      <w:pPr>
        <w:tabs>
          <w:tab w:val="left" w:pos="146"/>
          <w:tab w:val="left" w:pos="571"/>
          <w:tab w:val="left" w:pos="10440"/>
        </w:tabs>
        <w:bidi/>
        <w:spacing w:after="0"/>
        <w:ind w:left="18"/>
        <w:jc w:val="lowKashida"/>
        <w:rPr>
          <w:rFonts w:ascii="Traditional Arabic" w:hAnsi="Traditional Arabic" w:cs="Traditional Arabic"/>
          <w:b/>
          <w:bCs/>
          <w:sz w:val="34"/>
          <w:szCs w:val="34"/>
          <w:rtl/>
          <w:lang w:bidi="ar-LB"/>
        </w:rPr>
      </w:pPr>
    </w:p>
    <w:p w:rsidR="0039734B" w:rsidRDefault="00107CFD" w:rsidP="00107CFD">
      <w:pPr>
        <w:tabs>
          <w:tab w:val="left" w:pos="146"/>
          <w:tab w:val="left" w:pos="571"/>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b/>
          <w:bCs/>
          <w:sz w:val="34"/>
          <w:szCs w:val="34"/>
          <w:rtl/>
          <w:lang w:bidi="ar-LB"/>
        </w:rPr>
        <w:t>-</w:t>
      </w:r>
      <w:r w:rsidR="0039734B">
        <w:rPr>
          <w:rFonts w:ascii="Traditional Arabic" w:hAnsi="Traditional Arabic" w:cs="Traditional Arabic" w:hint="cs"/>
          <w:b/>
          <w:bCs/>
          <w:sz w:val="34"/>
          <w:szCs w:val="34"/>
          <w:rtl/>
          <w:lang w:bidi="ar-LB"/>
        </w:rPr>
        <w:t>المحطة الثالثة:</w:t>
      </w:r>
      <w:r w:rsidR="0039734B">
        <w:rPr>
          <w:rFonts w:ascii="Traditional Arabic" w:hAnsi="Traditional Arabic" w:cs="Traditional Arabic" w:hint="cs"/>
          <w:sz w:val="34"/>
          <w:szCs w:val="34"/>
          <w:rtl/>
          <w:lang w:bidi="ar-LB"/>
        </w:rPr>
        <w:t xml:space="preserve"> لقد استكملت المرحلة السابقة مع تعديلات اجتهادية من فترة زمنية إلى أخرى، إلى أن بدأت محطة جديدة في الساحة الإسلامية، تجلت في مرحلة غياب جزئي للإمام الثاني عشر لدى الشيعة، وهو الإمام المهدي(عج)، حيث بدأت في العام 260 للهجرة والتي كانت مرحلة تمهيدية للغياب التام للمعصوم، حيث كان الشيعة يرجعون إلى الإمام المعصوم عبر سفرائه الأربعة، وكانوا هؤلاء السفراء بمثابة رواة الأحاديث وناقلي الأحكام من الإمام الغائب إلى شيعته، وإن كان هناك من اجتهاد لدى هؤلاء السفراء فهو مُمضى </w:t>
      </w:r>
      <w:r w:rsidR="008A3AA1">
        <w:rPr>
          <w:rFonts w:ascii="Traditional Arabic" w:hAnsi="Traditional Arabic" w:cs="Traditional Arabic" w:hint="cs"/>
          <w:sz w:val="34"/>
          <w:szCs w:val="34"/>
          <w:rtl/>
          <w:lang w:bidi="ar-LB"/>
        </w:rPr>
        <w:t xml:space="preserve">من قبل الإمام المهدي(عج) نفسه، </w:t>
      </w:r>
      <w:r w:rsidR="0039734B">
        <w:rPr>
          <w:rFonts w:ascii="Traditional Arabic" w:hAnsi="Traditional Arabic" w:cs="Traditional Arabic" w:hint="cs"/>
          <w:sz w:val="34"/>
          <w:szCs w:val="34"/>
          <w:rtl/>
          <w:lang w:bidi="ar-LB"/>
        </w:rPr>
        <w:t>وقد استمرت هذه المرحلة ما يقارب السبعين عامًا كمرحلة تمرينية، للمحطة اللاحقة.</w:t>
      </w:r>
    </w:p>
    <w:p w:rsidR="00107CFD" w:rsidRDefault="00107CFD" w:rsidP="0039734B">
      <w:pPr>
        <w:tabs>
          <w:tab w:val="left" w:pos="146"/>
          <w:tab w:val="left" w:pos="571"/>
          <w:tab w:val="left" w:pos="10440"/>
        </w:tabs>
        <w:bidi/>
        <w:spacing w:after="0"/>
        <w:ind w:left="18"/>
        <w:jc w:val="lowKashida"/>
        <w:rPr>
          <w:rFonts w:ascii="Traditional Arabic" w:hAnsi="Traditional Arabic" w:cs="Traditional Arabic"/>
          <w:b/>
          <w:bCs/>
          <w:sz w:val="34"/>
          <w:szCs w:val="34"/>
          <w:rtl/>
          <w:lang w:bidi="ar-LB"/>
        </w:rPr>
      </w:pPr>
    </w:p>
    <w:p w:rsidR="0039734B" w:rsidRDefault="00107CFD" w:rsidP="00107CFD">
      <w:pPr>
        <w:tabs>
          <w:tab w:val="left" w:pos="146"/>
          <w:tab w:val="left" w:pos="571"/>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b/>
          <w:bCs/>
          <w:sz w:val="34"/>
          <w:szCs w:val="34"/>
          <w:rtl/>
          <w:lang w:bidi="ar-LB"/>
        </w:rPr>
        <w:lastRenderedPageBreak/>
        <w:t>-</w:t>
      </w:r>
      <w:r w:rsidR="0039734B" w:rsidRPr="0049610D">
        <w:rPr>
          <w:rFonts w:ascii="Traditional Arabic" w:hAnsi="Traditional Arabic" w:cs="Traditional Arabic" w:hint="cs"/>
          <w:b/>
          <w:bCs/>
          <w:sz w:val="34"/>
          <w:szCs w:val="34"/>
          <w:rtl/>
          <w:lang w:bidi="ar-LB"/>
        </w:rPr>
        <w:t>المحطة الرابعة</w:t>
      </w:r>
      <w:r w:rsidR="0039734B">
        <w:rPr>
          <w:rFonts w:ascii="Traditional Arabic" w:hAnsi="Traditional Arabic" w:cs="Traditional Arabic" w:hint="cs"/>
          <w:sz w:val="34"/>
          <w:szCs w:val="34"/>
          <w:rtl/>
          <w:lang w:bidi="ar-LB"/>
        </w:rPr>
        <w:t xml:space="preserve">: وقد بدأت بعد غياب الإمام المهدي (عج) في غيبيته الكبرى، حيث بدأ الاجتهاد الشيعي الواسع بالظهور مع مدوّني الأحاديث كالشيخ المفيد والشيخ الصدوق، والكليني، وغيرهم، ممن صنفوا الروايات وفق باب الفتاوى والأحكام التي استظهروها منها، ولم يكن هذه الاجتهاد على شاكلة الاجتهاد الذي بدأ عند </w:t>
      </w:r>
      <w:r w:rsidR="001C7A92">
        <w:rPr>
          <w:rFonts w:ascii="Traditional Arabic" w:hAnsi="Traditional Arabic" w:cs="Traditional Arabic" w:hint="cs"/>
          <w:sz w:val="34"/>
          <w:szCs w:val="34"/>
          <w:rtl/>
          <w:lang w:bidi="ar-LB"/>
        </w:rPr>
        <w:t xml:space="preserve">أهل </w:t>
      </w:r>
      <w:r w:rsidR="0039734B">
        <w:rPr>
          <w:rFonts w:ascii="Traditional Arabic" w:hAnsi="Traditional Arabic" w:cs="Traditional Arabic" w:hint="cs"/>
          <w:sz w:val="34"/>
          <w:szCs w:val="34"/>
          <w:rtl/>
          <w:lang w:bidi="ar-LB"/>
        </w:rPr>
        <w:t>السنة، حيث كان لديهم على نحو الاجتهاد بالرأي بالاستحسان والقياس وغيره من الأدلة في حال لم يكن هناك من نص يمكن الاستناد إليه، في حين أن الاجتهاد لدى الشيعة كان اجتهادًا في فهم النص واستنباط الحكم من مظانه وفق القواعد والأصول الشرعية، وقد استمرت هذه المحطة إلى عصرنا الراهن- مع تمايزٍ في مستوى الاجتهاد بين فقيهٍ وآخر- إلا أنّ الحراك الفكري الإسلامي لدى الشيعة لا يزال ناشطًا بناءً على مبدأ مواكبة الزمان والمكان، ومدى تجدد حركة ودلالة النص الديني على مواكبة الحوادث الواقعة.</w:t>
      </w:r>
    </w:p>
    <w:p w:rsidR="0039734B" w:rsidRPr="00FF2CA0" w:rsidRDefault="0039734B" w:rsidP="0039734B">
      <w:pPr>
        <w:tabs>
          <w:tab w:val="left" w:pos="146"/>
          <w:tab w:val="left" w:pos="571"/>
          <w:tab w:val="left" w:pos="10440"/>
        </w:tabs>
        <w:bidi/>
        <w:spacing w:after="0"/>
        <w:ind w:left="18"/>
        <w:jc w:val="lowKashida"/>
        <w:rPr>
          <w:rFonts w:ascii="Traditional Arabic" w:hAnsi="Traditional Arabic" w:cs="Traditional Arabic"/>
          <w:sz w:val="26"/>
          <w:szCs w:val="26"/>
          <w:rtl/>
          <w:lang w:bidi="ar-LB"/>
        </w:rPr>
      </w:pPr>
    </w:p>
    <w:p w:rsidR="001C7A92" w:rsidRDefault="0039734B" w:rsidP="001C7A92">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ab/>
      </w:r>
      <w:r>
        <w:rPr>
          <w:rFonts w:ascii="Traditional Arabic" w:hAnsi="Traditional Arabic" w:cs="Traditional Arabic" w:hint="cs"/>
          <w:sz w:val="34"/>
          <w:szCs w:val="34"/>
          <w:rtl/>
          <w:lang w:bidi="ar-LB"/>
        </w:rPr>
        <w:tab/>
        <w:t xml:space="preserve">وهذه المحطات وإن كان البارز فيها الجانب الفقهي، إلا أن التدقيق يكشف لنا شموله لجوانب أخرى كتفسير القرآن، والقضايا الكلامية والعقائدية، والسياسية، والاجتماعية التي يمكن استظهارها من أدلتها الشرعية الإسلامية، هذا من جهة، ومن جهة أخرى يمكن أن نعتبر أن الظروف الاجتماعية والأمنيّة والسياسية التي تحيط بالفقهاء كانت تؤثر في المسار والموضوعات الاجتهادية لديهم، وما يمكن إدراجه ضمن هذا السياق </w:t>
      </w:r>
      <w:r w:rsidRPr="006C2DB0">
        <w:rPr>
          <w:rFonts w:ascii="Traditional Arabic" w:hAnsi="Traditional Arabic" w:cs="Traditional Arabic" w:hint="cs"/>
          <w:b/>
          <w:bCs/>
          <w:sz w:val="34"/>
          <w:szCs w:val="34"/>
          <w:rtl/>
          <w:lang w:bidi="ar-LB"/>
        </w:rPr>
        <w:t>مسألة التقيّة</w:t>
      </w:r>
      <w:r>
        <w:rPr>
          <w:rFonts w:ascii="Traditional Arabic" w:hAnsi="Traditional Arabic" w:cs="Traditional Arabic" w:hint="cs"/>
          <w:sz w:val="34"/>
          <w:szCs w:val="34"/>
          <w:rtl/>
          <w:lang w:bidi="ar-LB"/>
        </w:rPr>
        <w:t>، وهو ما يبرر أيضًا عدم وضوح أو بيان تطرقهم إلى الكثير من القضايا التي نحتاجها اليوم، كالموضوعات التربوية، والإدارية، والاقتصادية، والسياسية،... التي وجدت لها بيئتها الحالية مكانًا مناسبًا للبحث والاجتهاد، وهو ما استدعى الآن من الفقهاء إعادة النظر في الكثير من الأبواب الاجتهادية، التخصصية، وفرضت على الحوزات والمؤسسات العلمية الدينية نوعًا من الإلحاح في إيجاد الأرضية المناسبة للاجتهاد في هذه الأبواب، وهو ما يقودنا إلى إعادة طرح قضية التأصيل الإسلامي على مستوى التربية، وقضاياها ومسائلها وتفريعاتها، ليس من خلفية فقهية فحسب، بل من خلفيّة فكريّة إسلامية شاملة، تتضمّن طرح الفكر والنظرية والمنهج الإسلامي في هذا المجال، وإعادة النظر بالقضايا والنظريات التربوية غير الإسلامية المطروحة، وذلك بناءً على خلفية إسلامية تدرك الأسس والمباني والأصول والمبادئ الإسلامية الأصيلة.</w:t>
      </w:r>
      <w:r w:rsidR="001C7A92">
        <w:rPr>
          <w:rFonts w:ascii="Traditional Arabic" w:hAnsi="Traditional Arabic" w:cs="Traditional Arabic" w:hint="cs"/>
          <w:sz w:val="34"/>
          <w:szCs w:val="34"/>
          <w:rtl/>
          <w:lang w:bidi="ar-LB"/>
        </w:rPr>
        <w:t xml:space="preserve"> كما أن المنحى العلمي الخاص في تناول القضايا الفقهية ذات البعد الفردي، </w:t>
      </w:r>
      <w:r w:rsidR="001C7A92">
        <w:rPr>
          <w:rFonts w:ascii="Traditional Arabic" w:hAnsi="Traditional Arabic" w:cs="Traditional Arabic" w:hint="cs"/>
          <w:sz w:val="34"/>
          <w:szCs w:val="34"/>
          <w:rtl/>
          <w:lang w:bidi="ar-LB"/>
        </w:rPr>
        <w:lastRenderedPageBreak/>
        <w:t>وغلبة المنحى المعارض في مسارهم السياسي، إذ أنهم بقوا في صفوف المعارضة، ولم يتولوا مناصب قيادية في الدولة جعلهم بعيدين عن تناول بحثهم القضايا ذات الابتلاء العام</w:t>
      </w:r>
      <w:r w:rsidR="00233A29">
        <w:rPr>
          <w:rStyle w:val="FootnoteReference"/>
          <w:rFonts w:ascii="Traditional Arabic" w:hAnsi="Traditional Arabic" w:cs="Traditional Arabic"/>
          <w:sz w:val="34"/>
          <w:szCs w:val="34"/>
          <w:rtl/>
          <w:lang w:bidi="ar-LB"/>
        </w:rPr>
        <w:footnoteReference w:id="3"/>
      </w:r>
      <w:r w:rsidR="001C7A92">
        <w:rPr>
          <w:rFonts w:ascii="Traditional Arabic" w:hAnsi="Traditional Arabic" w:cs="Traditional Arabic" w:hint="cs"/>
          <w:sz w:val="34"/>
          <w:szCs w:val="34"/>
          <w:rtl/>
          <w:lang w:bidi="ar-LB"/>
        </w:rPr>
        <w:t>.</w:t>
      </w:r>
    </w:p>
    <w:p w:rsidR="0039734B" w:rsidRDefault="0039734B" w:rsidP="0039734B">
      <w:pPr>
        <w:tabs>
          <w:tab w:val="left" w:pos="146"/>
          <w:tab w:val="left" w:pos="571"/>
          <w:tab w:val="left" w:pos="10440"/>
        </w:tabs>
        <w:bidi/>
        <w:spacing w:after="0"/>
        <w:ind w:left="18"/>
        <w:jc w:val="lowKashida"/>
        <w:rPr>
          <w:rFonts w:ascii="Traditional Arabic" w:hAnsi="Traditional Arabic" w:cs="Traditional Arabic"/>
          <w:sz w:val="34"/>
          <w:szCs w:val="34"/>
          <w:rtl/>
          <w:lang w:bidi="ar-LB"/>
        </w:rPr>
      </w:pPr>
    </w:p>
    <w:p w:rsidR="0039734B" w:rsidRDefault="0039734B" w:rsidP="001C7A92">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r w:rsidRPr="00317E3B">
        <w:rPr>
          <w:rFonts w:ascii="Traditional Arabic" w:hAnsi="Traditional Arabic" w:cs="Traditional Arabic" w:hint="cs"/>
          <w:sz w:val="34"/>
          <w:szCs w:val="34"/>
          <w:rtl/>
          <w:lang w:bidi="ar-LB"/>
        </w:rPr>
        <w:t>انطلاقًا من هذا الواقع</w:t>
      </w:r>
      <w:r>
        <w:rPr>
          <w:rFonts w:ascii="Traditional Arabic" w:hAnsi="Traditional Arabic" w:cs="Traditional Arabic" w:hint="cs"/>
          <w:sz w:val="34"/>
          <w:szCs w:val="34"/>
          <w:rtl/>
          <w:lang w:bidi="ar-LB"/>
        </w:rPr>
        <w:t>، والنظرة المعرفية للفلسفة الإسلامية للتربية، وجدت مجموعة من التحولات طريقًا لها في ظل الكثير من تلك الظروف الضاغطة والحاكمة، وفي الوقت الذي لا يمكننا إنكار التربية الإسلامية التي حافظت على تراثها، ودورها من خلال انتاجها لنخبة كبيرة من العلماء الأعلام والقيادات الاجتماعية والسياسية، التي أثرت في التاريخ البشري، على المستوى الفلسفي والفكري، والكثير من العلوم الطبيعية كالطب والهندسة، والفلك، والفيزياء، ...وغيرها، إلا أنّ هذه التربية لم توثّق</w:t>
      </w:r>
      <w:r w:rsidR="001C7A92">
        <w:rPr>
          <w:rFonts w:ascii="Traditional Arabic" w:hAnsi="Traditional Arabic" w:cs="Traditional Arabic" w:hint="cs"/>
          <w:sz w:val="34"/>
          <w:szCs w:val="34"/>
          <w:rtl/>
          <w:lang w:bidi="ar-LB"/>
        </w:rPr>
        <w:t>، بالشكل الخاص</w:t>
      </w:r>
      <w:r>
        <w:rPr>
          <w:rFonts w:ascii="Traditional Arabic" w:hAnsi="Traditional Arabic" w:cs="Traditional Arabic" w:hint="cs"/>
          <w:sz w:val="34"/>
          <w:szCs w:val="34"/>
          <w:rtl/>
          <w:lang w:bidi="ar-LB"/>
        </w:rPr>
        <w:t xml:space="preserve">، ولم تقيّد </w:t>
      </w:r>
      <w:r w:rsidR="001C7A92">
        <w:rPr>
          <w:rFonts w:ascii="Traditional Arabic" w:hAnsi="Traditional Arabic" w:cs="Traditional Arabic" w:hint="cs"/>
          <w:sz w:val="34"/>
          <w:szCs w:val="34"/>
          <w:rtl/>
          <w:lang w:bidi="ar-LB"/>
        </w:rPr>
        <w:t>بالنحو</w:t>
      </w:r>
      <w:r>
        <w:rPr>
          <w:rFonts w:ascii="Traditional Arabic" w:hAnsi="Traditional Arabic" w:cs="Traditional Arabic" w:hint="cs"/>
          <w:sz w:val="34"/>
          <w:szCs w:val="34"/>
          <w:rtl/>
          <w:lang w:bidi="ar-LB"/>
        </w:rPr>
        <w:t xml:space="preserve"> الذي يمكننا أن نعتبر ذلك مرجعًا يمكن الاستناد إليه في هذا المضمار، وخاصة مع تطور النظريات والأنظمة التربوية الحديثة في الغرب، فقد نشأ نوع من حالة الفصام في الواقع الإسلامي، بين التربية الوافدة والمبتناة على فلسفات ليست إسلامية، وبين الكثير من التعاليم والأحكام الإسلامية التي تعارض تلك التربية، وقد انعكس ذلك في الكثير من الوقائع التربوية والاجتماعية، حيث يُعزى الكثير من الأسباب التي أدت إلى تراجع المجتمعات الإسلامية إلى الخلل في البناء التربوي، وهو ما استدعى وجود عملية بناء لفسلفة تربوية إسلامية أصيلة، تعمل على إجراء تحوّل في الواقع المتخلف للعالم الإسلامي، وتدفعه إلى إعادة الانتاج والإبداع في الكثير من الميادين والساحات الحياتية، إلا أن انتاج أو كتابة فلسفة التربية الإسلامية يواجه مجموعة من العقبات لا بد من ذكر أبرزها:</w:t>
      </w:r>
    </w:p>
    <w:p w:rsidR="0039734B" w:rsidRDefault="0039734B" w:rsidP="0039734B">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-إن فلسفة التربية الإسلامية تحتاج إلى الفلسفة الإسلامية العامة للبناء والارتكاز عليها، حيث تشكّل مدخلاً ضروريًا لا يمكن إغفاله، وبالتالي فإنّه ما لم يكن هناك حسم للكثير من القضايا الفلسفية، وتحديد الموقف المتبنَّى إزاءها، فإنّ البحث حول الفلسفة التربوية سيكون قاصرًا.</w:t>
      </w:r>
    </w:p>
    <w:p w:rsidR="0039734B" w:rsidRDefault="0039734B" w:rsidP="0039734B">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 xml:space="preserve">-أن تدوين فلسفة التربية تحتاج إلى فتح باب الاجتهاد على حقول وفضاءات معرفية جديدة، خاصة في المؤسسة الدينية الأولى وهي الحوزة، وعدم الاكتفاء بالاجتهاد بالأبواب المعرفية المعتادة كالفقه والأصول، </w:t>
      </w:r>
      <w:r>
        <w:rPr>
          <w:rFonts w:ascii="Traditional Arabic" w:hAnsi="Traditional Arabic" w:cs="Traditional Arabic" w:hint="cs"/>
          <w:sz w:val="34"/>
          <w:szCs w:val="34"/>
          <w:rtl/>
          <w:lang w:bidi="ar-LB"/>
        </w:rPr>
        <w:lastRenderedPageBreak/>
        <w:t>بل لا بد من الاجتهاد في الأبواب الخاصة بالتربية، وهو أمر لم يظهر جليًا ومكتملاً حتى الآن، خاصة إذا ما أخذنا بعين الاعتبار الاجتهاد بمعناه الاستنباطي الذي يأخذ بعين الاعتبار المتغيرات الزمنية والمكانية للموضوعات المختلفة.</w:t>
      </w:r>
    </w:p>
    <w:p w:rsidR="0039734B" w:rsidRDefault="0039734B" w:rsidP="0039734B">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 الحاجة إلى تحديد المنهجية التي ستُعتمد في بناء أو تدوين الفلسفة التربوية الإسلامية، حيث أنّ المنهجية الأصولية والفقهية هي المنهجية الطاغية حاليًا في قراءة النص الديني الإسلامي، مع ملاحظة الإستد</w:t>
      </w:r>
      <w:r w:rsidR="002B0ED1">
        <w:rPr>
          <w:rFonts w:ascii="Traditional Arabic" w:hAnsi="Traditional Arabic" w:cs="Traditional Arabic" w:hint="cs"/>
          <w:sz w:val="34"/>
          <w:szCs w:val="34"/>
          <w:rtl/>
          <w:lang w:bidi="ar-LB"/>
        </w:rPr>
        <w:t>ل</w:t>
      </w:r>
      <w:r>
        <w:rPr>
          <w:rFonts w:ascii="Traditional Arabic" w:hAnsi="Traditional Arabic" w:cs="Traditional Arabic" w:hint="cs"/>
          <w:sz w:val="34"/>
          <w:szCs w:val="34"/>
          <w:rtl/>
          <w:lang w:bidi="ar-LB"/>
        </w:rPr>
        <w:t>ال العقلي إلى جانب النقلي في الكثير من القضايا والمفاهيم الإسلامية، خاصة لدى المدرسة الإمامية، مما يعني أن تحديد منهجية الفلسفة التربوية سابقة حكمًا عن البحث في موضوعات وقضايا الفلسفة التربوية نفسها،</w:t>
      </w:r>
      <w:r w:rsidRPr="00C6137E">
        <w:rPr>
          <w:rFonts w:ascii="Traditional Arabic" w:hAnsi="Traditional Arabic" w:cs="Traditional Arabic" w:hint="cs"/>
          <w:sz w:val="34"/>
          <w:szCs w:val="34"/>
          <w:rtl/>
          <w:lang w:bidi="ar-LB"/>
        </w:rPr>
        <w:t xml:space="preserve"> </w:t>
      </w:r>
      <w:r>
        <w:rPr>
          <w:rFonts w:ascii="Traditional Arabic" w:hAnsi="Traditional Arabic" w:cs="Traditional Arabic" w:hint="cs"/>
          <w:sz w:val="34"/>
          <w:szCs w:val="34"/>
          <w:rtl/>
          <w:lang w:bidi="ar-LB"/>
        </w:rPr>
        <w:t>وضرورة لا بد منها.</w:t>
      </w:r>
    </w:p>
    <w:p w:rsidR="0039734B" w:rsidRDefault="0039734B" w:rsidP="0039734B">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-طغيان المقاربات الغربية للقضايا التربوية، مما سيجعل أي تحوّل في هذا المجال تغييرًا صعبًا وشاقًا سيحمل الكثير من المواجهة والمجابهة، إن على مستوى الواقع الإسلامي الداخلي، أو على مستوى الخارجي المقابل للفكر الإسلامي.</w:t>
      </w:r>
    </w:p>
    <w:p w:rsidR="0039734B" w:rsidRDefault="0039734B" w:rsidP="002B0ED1">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-الافتقار إلى المفكرين والعلماء المسلمين الذين يحملونا الفكر التربوي بعمقه، ولديهم الخلفية المعرف</w:t>
      </w:r>
      <w:r w:rsidR="002B0ED1">
        <w:rPr>
          <w:rFonts w:ascii="Traditional Arabic" w:hAnsi="Traditional Arabic" w:cs="Traditional Arabic" w:hint="cs"/>
          <w:sz w:val="34"/>
          <w:szCs w:val="34"/>
          <w:rtl/>
          <w:lang w:bidi="ar-LB"/>
        </w:rPr>
        <w:t>ي</w:t>
      </w:r>
      <w:r>
        <w:rPr>
          <w:rFonts w:ascii="Traditional Arabic" w:hAnsi="Traditional Arabic" w:cs="Traditional Arabic" w:hint="cs"/>
          <w:sz w:val="34"/>
          <w:szCs w:val="34"/>
          <w:rtl/>
          <w:lang w:bidi="ar-LB"/>
        </w:rPr>
        <w:t>ة الإسلامية من منابعها الأصيلة، وهو ما يحتاج إلى جهود كبيرة في هذا السياق.</w:t>
      </w:r>
    </w:p>
    <w:p w:rsidR="0039734B" w:rsidRDefault="0039734B" w:rsidP="0039734B">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-الاحتياج الملح لحل الكثير من القضايا التربوية التي تفرض نفسها حاليًا، في حين أن عملية التأصيل الفكري والفلسفي، تدرس الجوانب المدركية للحل، وليس آليات الحل بشكل مباشر، أي أن هذا الأمر مع ضرورته لا يمكن الركون إليه قبل تشييد تلك المداميك الفلسفية والمعرفية العميقة، مما سيولّد حالة من نكران مسألة فلسفة التربية.</w:t>
      </w:r>
    </w:p>
    <w:p w:rsidR="0039734B" w:rsidRDefault="0039734B" w:rsidP="0039734B">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-إنّ طرح عملية تأصيل للتربية هو بمضمونه نوع من هدم ما هو سائد</w:t>
      </w:r>
      <w:r w:rsidR="00AD3236">
        <w:rPr>
          <w:rFonts w:ascii="Traditional Arabic" w:hAnsi="Traditional Arabic" w:cs="Traditional Arabic" w:hint="cs"/>
          <w:sz w:val="34"/>
          <w:szCs w:val="34"/>
          <w:rtl/>
          <w:lang w:bidi="ar-LB"/>
        </w:rPr>
        <w:t>(ولو على النحو الجزئي)</w:t>
      </w:r>
      <w:r>
        <w:rPr>
          <w:rFonts w:ascii="Traditional Arabic" w:hAnsi="Traditional Arabic" w:cs="Traditional Arabic" w:hint="cs"/>
          <w:sz w:val="34"/>
          <w:szCs w:val="34"/>
          <w:rtl/>
          <w:lang w:bidi="ar-LB"/>
        </w:rPr>
        <w:t>، أي أنه سيستدعي نوع من المواجهة المعرفية والفكرية بالحد الأدنى، مما يحتمل دخول ذلك في الاطار السياسي، وبالتالي فإنّ التحول بهذا المستوى يحتاج إلى احتضان من قبل سلطة أو جهة لها القوة في حماية هذه الجهود والنتاجات البنيوية التغيرية.</w:t>
      </w:r>
    </w:p>
    <w:p w:rsidR="00013BFC" w:rsidRDefault="00013BFC" w:rsidP="00972CB7">
      <w:pPr>
        <w:tabs>
          <w:tab w:val="left" w:pos="146"/>
          <w:tab w:val="left" w:pos="429"/>
          <w:tab w:val="left" w:pos="10440"/>
        </w:tabs>
        <w:bidi/>
        <w:spacing w:after="0"/>
        <w:ind w:left="146" w:firstLine="142"/>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lastRenderedPageBreak/>
        <w:t>في سياق القراءة التاريخية لكل ما تقدم، وملاحظة الظروف الراهنة يمكننا القول بأن هناك محطة جديدة بدأت مع انتصار الثورة الإسلامية</w:t>
      </w:r>
      <w:r w:rsidR="00443D08">
        <w:rPr>
          <w:rFonts w:ascii="Traditional Arabic" w:hAnsi="Traditional Arabic" w:cs="Traditional Arabic"/>
          <w:sz w:val="34"/>
          <w:szCs w:val="34"/>
          <w:lang w:bidi="ar-LB"/>
        </w:rPr>
        <w:t xml:space="preserve"> </w:t>
      </w:r>
      <w:r w:rsidR="00443D08">
        <w:rPr>
          <w:rFonts w:ascii="Traditional Arabic" w:hAnsi="Traditional Arabic" w:cs="Traditional Arabic" w:hint="cs"/>
          <w:sz w:val="34"/>
          <w:szCs w:val="34"/>
          <w:rtl/>
          <w:lang w:bidi="ar-LB"/>
        </w:rPr>
        <w:t>في إيران</w:t>
      </w:r>
      <w:r>
        <w:rPr>
          <w:rFonts w:ascii="Traditional Arabic" w:hAnsi="Traditional Arabic" w:cs="Traditional Arabic" w:hint="cs"/>
          <w:sz w:val="34"/>
          <w:szCs w:val="34"/>
          <w:rtl/>
          <w:lang w:bidi="ar-LB"/>
        </w:rPr>
        <w:t xml:space="preserve">، بقيادة الإمام الخميني(قدس سره) حيث كانت </w:t>
      </w:r>
      <w:r>
        <w:rPr>
          <w:rFonts w:ascii="Traditional Arabic" w:hAnsi="Traditional Arabic" w:cs="Traditional Arabic" w:hint="cs"/>
          <w:sz w:val="34"/>
          <w:szCs w:val="34"/>
          <w:rtl/>
          <w:lang w:bidi="ar-LB"/>
        </w:rPr>
        <w:br/>
        <w:t xml:space="preserve">أولى ركازها قيام دستور دولة قائمة على مقاربة تأصيلية إسلامية، تستند إلى القرآن الكريم، وسنة رسول الله (صلى الله عليه وآهل وسلم) والأئمة المعصومين(عليهم السلام) والسيرة العقلائية الممضاة من المعصوم </w:t>
      </w:r>
      <w:r w:rsidR="00443D08">
        <w:rPr>
          <w:rFonts w:ascii="Traditional Arabic" w:hAnsi="Traditional Arabic" w:cs="Traditional Arabic" w:hint="cs"/>
          <w:sz w:val="34"/>
          <w:szCs w:val="34"/>
          <w:rtl/>
          <w:lang w:bidi="ar-LB"/>
        </w:rPr>
        <w:t>(</w:t>
      </w:r>
      <w:r>
        <w:rPr>
          <w:rFonts w:ascii="Traditional Arabic" w:hAnsi="Traditional Arabic" w:cs="Traditional Arabic" w:hint="cs"/>
          <w:sz w:val="34"/>
          <w:szCs w:val="34"/>
          <w:rtl/>
          <w:lang w:bidi="ar-LB"/>
        </w:rPr>
        <w:t>عليه السلام</w:t>
      </w:r>
      <w:r w:rsidR="00443D08">
        <w:rPr>
          <w:rFonts w:ascii="Traditional Arabic" w:hAnsi="Traditional Arabic" w:cs="Traditional Arabic" w:hint="cs"/>
          <w:sz w:val="34"/>
          <w:szCs w:val="34"/>
          <w:rtl/>
          <w:lang w:bidi="ar-LB"/>
        </w:rPr>
        <w:t>)</w:t>
      </w:r>
      <w:r>
        <w:rPr>
          <w:rFonts w:ascii="Traditional Arabic" w:hAnsi="Traditional Arabic" w:cs="Traditional Arabic" w:hint="cs"/>
          <w:sz w:val="34"/>
          <w:szCs w:val="34"/>
          <w:rtl/>
          <w:lang w:bidi="ar-LB"/>
        </w:rPr>
        <w:t xml:space="preserve">، وتنهل من تراث فلسفي وفكري وثقافي عميق، يستند إلى المباني النظرية الإسلامية المحكمة، ويعالج القضايا </w:t>
      </w:r>
      <w:r w:rsidR="00443D08">
        <w:rPr>
          <w:rFonts w:ascii="Traditional Arabic" w:hAnsi="Traditional Arabic" w:cs="Traditional Arabic" w:hint="cs"/>
          <w:sz w:val="34"/>
          <w:szCs w:val="34"/>
          <w:rtl/>
          <w:lang w:bidi="ar-LB"/>
        </w:rPr>
        <w:t>المعاصرة</w:t>
      </w:r>
      <w:r>
        <w:rPr>
          <w:rFonts w:ascii="Traditional Arabic" w:hAnsi="Traditional Arabic" w:cs="Traditional Arabic" w:hint="cs"/>
          <w:sz w:val="34"/>
          <w:szCs w:val="34"/>
          <w:rtl/>
          <w:lang w:bidi="ar-LB"/>
        </w:rPr>
        <w:t xml:space="preserve">، بكل جوانبها، ومن ضمنها الفلسفة والقضايا التربوية، </w:t>
      </w:r>
      <w:r w:rsidR="002362ED">
        <w:rPr>
          <w:rFonts w:ascii="Traditional Arabic" w:hAnsi="Traditional Arabic" w:cs="Traditional Arabic" w:hint="cs"/>
          <w:sz w:val="34"/>
          <w:szCs w:val="34"/>
          <w:rtl/>
          <w:lang w:bidi="ar-LB"/>
        </w:rPr>
        <w:t>حيث يمكن أن نلحظ ذلك-وإن بدا في مراحله الأولى-مع إطلاق المباني النظرية للتحول البنيوي في نظام الجمهورية الإسلامية في إيران</w:t>
      </w:r>
      <w:r w:rsidR="002362ED">
        <w:rPr>
          <w:rStyle w:val="FootnoteReference"/>
          <w:rFonts w:ascii="Traditional Arabic" w:hAnsi="Traditional Arabic" w:cs="Traditional Arabic"/>
          <w:sz w:val="34"/>
          <w:szCs w:val="34"/>
          <w:rtl/>
          <w:lang w:bidi="ar-LB"/>
        </w:rPr>
        <w:footnoteReference w:id="4"/>
      </w:r>
      <w:r w:rsidR="00443D08">
        <w:rPr>
          <w:rFonts w:ascii="Traditional Arabic" w:hAnsi="Traditional Arabic" w:cs="Traditional Arabic" w:hint="cs"/>
          <w:sz w:val="34"/>
          <w:szCs w:val="34"/>
          <w:rtl/>
          <w:lang w:bidi="ar-LB"/>
        </w:rPr>
        <w:t>-</w:t>
      </w:r>
      <w:r w:rsidR="002362ED">
        <w:rPr>
          <w:rFonts w:ascii="Traditional Arabic" w:hAnsi="Traditional Arabic" w:cs="Traditional Arabic" w:hint="cs"/>
          <w:sz w:val="34"/>
          <w:szCs w:val="34"/>
          <w:rtl/>
          <w:lang w:bidi="ar-LB"/>
        </w:rPr>
        <w:t xml:space="preserve"> بعد الدفع والتوجيه والمواكبة التي حظيت به من </w:t>
      </w:r>
      <w:r w:rsidR="00443D08">
        <w:rPr>
          <w:rFonts w:ascii="Traditional Arabic" w:hAnsi="Traditional Arabic" w:cs="Traditional Arabic" w:hint="cs"/>
          <w:sz w:val="34"/>
          <w:szCs w:val="34"/>
          <w:rtl/>
          <w:lang w:bidi="ar-LB"/>
        </w:rPr>
        <w:t xml:space="preserve">قبل </w:t>
      </w:r>
      <w:r w:rsidR="002362ED">
        <w:rPr>
          <w:rFonts w:ascii="Traditional Arabic" w:hAnsi="Traditional Arabic" w:cs="Traditional Arabic" w:hint="cs"/>
          <w:sz w:val="34"/>
          <w:szCs w:val="34"/>
          <w:rtl/>
          <w:lang w:bidi="ar-LB"/>
        </w:rPr>
        <w:t>سماحة الإمام الخامنئي(حفظه الله)</w:t>
      </w:r>
      <w:r w:rsidR="00443D08">
        <w:rPr>
          <w:rFonts w:ascii="Traditional Arabic" w:hAnsi="Traditional Arabic" w:cs="Traditional Arabic" w:hint="cs"/>
          <w:sz w:val="34"/>
          <w:szCs w:val="34"/>
          <w:rtl/>
          <w:lang w:bidi="ar-LB"/>
        </w:rPr>
        <w:t>-</w:t>
      </w:r>
      <w:r w:rsidR="002362ED">
        <w:rPr>
          <w:rFonts w:ascii="Traditional Arabic" w:hAnsi="Traditional Arabic" w:cs="Traditional Arabic" w:hint="cs"/>
          <w:sz w:val="34"/>
          <w:szCs w:val="34"/>
          <w:rtl/>
          <w:lang w:bidi="ar-LB"/>
        </w:rPr>
        <w:t xml:space="preserve"> حيث تمهد لوثيقة تربوية إسلامية تأصيلية تلحظ الأبعاد الإنسانية كافة، وتحدد المنحى العام للفلسفة التربوية الإسلامية التأصيلية، ومرتكزاتها البنائية والتأسيسية، ومفاهيهما، وعناصرها الأساسية.</w:t>
      </w:r>
    </w:p>
    <w:p w:rsidR="0039734B" w:rsidRDefault="0039734B" w:rsidP="0039734B">
      <w:pPr>
        <w:tabs>
          <w:tab w:val="left" w:pos="146"/>
          <w:tab w:val="left" w:pos="429"/>
          <w:tab w:val="left" w:pos="10440"/>
        </w:tabs>
        <w:bidi/>
        <w:spacing w:after="0"/>
        <w:ind w:left="18"/>
        <w:jc w:val="lowKashida"/>
        <w:rPr>
          <w:rFonts w:ascii="Traditional Arabic" w:hAnsi="Traditional Arabic" w:cs="Traditional Arabic"/>
          <w:sz w:val="34"/>
          <w:szCs w:val="34"/>
          <w:rtl/>
          <w:lang w:bidi="ar-LB"/>
        </w:rPr>
      </w:pPr>
    </w:p>
    <w:p w:rsidR="003C3368" w:rsidRDefault="003C3368">
      <w:pPr>
        <w:rPr>
          <w:lang w:bidi="ar-LB"/>
        </w:rPr>
      </w:pPr>
    </w:p>
    <w:sectPr w:rsidR="003C3368" w:rsidSect="00AD3236">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FC" w:rsidRDefault="00013BFC" w:rsidP="00233A29">
      <w:pPr>
        <w:spacing w:after="0" w:line="240" w:lineRule="auto"/>
      </w:pPr>
      <w:r>
        <w:separator/>
      </w:r>
    </w:p>
  </w:endnote>
  <w:endnote w:type="continuationSeparator" w:id="0">
    <w:p w:rsidR="00013BFC" w:rsidRDefault="00013BFC" w:rsidP="00233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FC" w:rsidRDefault="00013BFC" w:rsidP="00233A29">
      <w:pPr>
        <w:spacing w:after="0" w:line="240" w:lineRule="auto"/>
      </w:pPr>
      <w:r>
        <w:separator/>
      </w:r>
    </w:p>
  </w:footnote>
  <w:footnote w:type="continuationSeparator" w:id="0">
    <w:p w:rsidR="00013BFC" w:rsidRDefault="00013BFC" w:rsidP="00233A29">
      <w:pPr>
        <w:spacing w:after="0" w:line="240" w:lineRule="auto"/>
      </w:pPr>
      <w:r>
        <w:continuationSeparator/>
      </w:r>
    </w:p>
  </w:footnote>
  <w:footnote w:id="1">
    <w:p w:rsidR="00013BFC" w:rsidRPr="001F19E1" w:rsidRDefault="00013BFC" w:rsidP="001F19E1">
      <w:pPr>
        <w:tabs>
          <w:tab w:val="left" w:pos="146"/>
          <w:tab w:val="left" w:pos="571"/>
          <w:tab w:val="left" w:pos="10440"/>
        </w:tabs>
        <w:bidi/>
        <w:spacing w:after="0"/>
        <w:ind w:left="18"/>
        <w:jc w:val="lowKashida"/>
        <w:rPr>
          <w:rFonts w:ascii="Traditional Arabic" w:hAnsi="Traditional Arabic" w:cs="Traditional Arabic"/>
          <w:rtl/>
          <w:lang w:bidi="ar-LB"/>
        </w:rPr>
      </w:pPr>
      <w:r>
        <w:rPr>
          <w:rStyle w:val="FootnoteReference"/>
        </w:rPr>
        <w:footnoteRef/>
      </w:r>
      <w:r>
        <w:t xml:space="preserve"> </w:t>
      </w:r>
      <w:r>
        <w:rPr>
          <w:rFonts w:hint="cs"/>
          <w:rtl/>
        </w:rPr>
        <w:t>-</w:t>
      </w:r>
      <w:r w:rsidRPr="00013BFC">
        <w:rPr>
          <w:rFonts w:ascii="Traditional Arabic" w:hAnsi="Traditional Arabic" w:cs="Traditional Arabic" w:hint="cs"/>
          <w:rtl/>
          <w:lang w:bidi="ar-LB"/>
        </w:rPr>
        <w:t>قوله تعالى (</w:t>
      </w:r>
      <w:r w:rsidRPr="001F19E1">
        <w:rPr>
          <w:rFonts w:ascii="Traditional Arabic" w:hAnsi="Traditional Arabic" w:cs="Traditional Arabic" w:hint="cs"/>
          <w:rtl/>
          <w:lang w:bidi="ar-LB"/>
        </w:rPr>
        <w:t>وَلَوْ</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تَقَوَّلَ</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عَلَيْنَا</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بَعْضَ</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الْأَقَاوِيلِ</w:t>
      </w:r>
      <w:r>
        <w:rPr>
          <w:rFonts w:ascii="Traditional Arabic" w:hAnsi="Traditional Arabic" w:cs="Traditional Arabic" w:hint="cs"/>
          <w:rtl/>
          <w:lang w:bidi="ar-LB"/>
        </w:rPr>
        <w:t xml:space="preserve">، </w:t>
      </w:r>
      <w:r w:rsidRPr="001F19E1">
        <w:rPr>
          <w:rFonts w:ascii="Traditional Arabic" w:hAnsi="Traditional Arabic" w:cs="Traditional Arabic" w:hint="cs"/>
          <w:rtl/>
          <w:lang w:bidi="ar-LB"/>
        </w:rPr>
        <w:t>لَأَخَذْنَا</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مِنْهُ</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بِالْيَمِينِ</w:t>
      </w:r>
      <w:r>
        <w:rPr>
          <w:rFonts w:ascii="Traditional Arabic" w:hAnsi="Traditional Arabic" w:cs="Traditional Arabic" w:hint="cs"/>
          <w:rtl/>
          <w:lang w:bidi="ar-LB"/>
        </w:rPr>
        <w:t xml:space="preserve">، </w:t>
      </w:r>
      <w:r w:rsidRPr="001F19E1">
        <w:rPr>
          <w:rFonts w:ascii="Traditional Arabic" w:hAnsi="Traditional Arabic" w:cs="Traditional Arabic" w:hint="cs"/>
          <w:rtl/>
          <w:lang w:bidi="ar-LB"/>
        </w:rPr>
        <w:t>ثُمَّ</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لَقَطَعْنَا</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مِنْهُ</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الْوَتِينَ</w:t>
      </w:r>
      <w:r>
        <w:rPr>
          <w:rFonts w:ascii="Traditional Arabic" w:hAnsi="Traditional Arabic" w:cs="Traditional Arabic" w:hint="cs"/>
          <w:rtl/>
          <w:lang w:bidi="ar-LB"/>
        </w:rPr>
        <w:t>)، الحاقة: الآيات: 44-46، وكذلك قوله تعالى: (</w:t>
      </w:r>
      <w:r w:rsidRPr="001F19E1">
        <w:rPr>
          <w:rFonts w:ascii="Traditional Arabic" w:hAnsi="Traditional Arabic" w:cs="Traditional Arabic" w:hint="cs"/>
          <w:rtl/>
          <w:lang w:bidi="ar-LB"/>
        </w:rPr>
        <w:t>وَمَا</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يَنْطِقُ</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عَنِ</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الْهَوَى</w:t>
      </w:r>
      <w:r>
        <w:rPr>
          <w:rFonts w:ascii="Traditional Arabic" w:hAnsi="Traditional Arabic" w:cs="Traditional Arabic" w:hint="cs"/>
          <w:rtl/>
          <w:lang w:bidi="ar-LB"/>
        </w:rPr>
        <w:t xml:space="preserve">، </w:t>
      </w:r>
      <w:r w:rsidRPr="001F19E1">
        <w:rPr>
          <w:rFonts w:ascii="Traditional Arabic" w:hAnsi="Traditional Arabic" w:cs="Traditional Arabic" w:hint="cs"/>
          <w:rtl/>
          <w:lang w:bidi="ar-LB"/>
        </w:rPr>
        <w:t>إِنْ</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هُوَ</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إِلَّا</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وَحْيٌ</w:t>
      </w:r>
      <w:r w:rsidRPr="001F19E1">
        <w:rPr>
          <w:rFonts w:ascii="Traditional Arabic" w:hAnsi="Traditional Arabic" w:cs="Traditional Arabic"/>
          <w:rtl/>
          <w:lang w:bidi="ar-LB"/>
        </w:rPr>
        <w:t xml:space="preserve"> </w:t>
      </w:r>
      <w:r w:rsidRPr="001F19E1">
        <w:rPr>
          <w:rFonts w:ascii="Traditional Arabic" w:hAnsi="Traditional Arabic" w:cs="Traditional Arabic" w:hint="cs"/>
          <w:rtl/>
          <w:lang w:bidi="ar-LB"/>
        </w:rPr>
        <w:t>يُوحَى</w:t>
      </w:r>
      <w:r w:rsidRPr="001F19E1">
        <w:rPr>
          <w:rFonts w:ascii="Traditional Arabic" w:hAnsi="Traditional Arabic" w:cs="Traditional Arabic"/>
          <w:rtl/>
          <w:lang w:bidi="ar-LB"/>
        </w:rPr>
        <w:t>)</w:t>
      </w:r>
      <w:r>
        <w:rPr>
          <w:rFonts w:ascii="Traditional Arabic" w:hAnsi="Traditional Arabic" w:cs="Traditional Arabic" w:hint="cs"/>
          <w:rtl/>
          <w:lang w:bidi="ar-LB"/>
        </w:rPr>
        <w:t>، النجم، الآيات: 3 و4.</w:t>
      </w:r>
    </w:p>
  </w:footnote>
  <w:footnote w:id="2">
    <w:p w:rsidR="00013BFC" w:rsidRPr="00013BFC" w:rsidRDefault="00013BFC" w:rsidP="00013BFC">
      <w:pPr>
        <w:pStyle w:val="FootnoteText"/>
        <w:bidi/>
        <w:rPr>
          <w:rtl/>
          <w:lang w:bidi="ar-LB"/>
        </w:rPr>
      </w:pPr>
      <w:r w:rsidRPr="00013BFC">
        <w:rPr>
          <w:rStyle w:val="FootnoteReference"/>
          <w:rFonts w:cs="Traditional Arabic"/>
          <w:sz w:val="22"/>
          <w:szCs w:val="22"/>
          <w:vertAlign w:val="baseline"/>
        </w:rPr>
        <w:footnoteRef/>
      </w:r>
      <w:r w:rsidRPr="00013BFC">
        <w:rPr>
          <w:rStyle w:val="FootnoteReference"/>
          <w:rFonts w:cs="Traditional Arabic"/>
          <w:sz w:val="22"/>
          <w:szCs w:val="22"/>
          <w:vertAlign w:val="baseline"/>
        </w:rPr>
        <w:t xml:space="preserve"> </w:t>
      </w:r>
      <w:r w:rsidRPr="00013BFC">
        <w:rPr>
          <w:rStyle w:val="FootnoteReference"/>
          <w:rFonts w:cs="Traditional Arabic" w:hint="cs"/>
          <w:sz w:val="22"/>
          <w:szCs w:val="22"/>
          <w:vertAlign w:val="baseline"/>
          <w:rtl/>
        </w:rPr>
        <w:t>-لمعالم</w:t>
      </w:r>
      <w:r w:rsidRPr="00013BFC">
        <w:rPr>
          <w:rStyle w:val="FootnoteReference"/>
          <w:rFonts w:cs="Traditional Arabic"/>
          <w:sz w:val="22"/>
          <w:szCs w:val="22"/>
          <w:vertAlign w:val="baseline"/>
          <w:rtl/>
        </w:rPr>
        <w:t xml:space="preserve"> </w:t>
      </w:r>
      <w:r w:rsidRPr="00013BFC">
        <w:rPr>
          <w:rStyle w:val="FootnoteReference"/>
          <w:rFonts w:cs="Traditional Arabic" w:hint="cs"/>
          <w:sz w:val="22"/>
          <w:szCs w:val="22"/>
          <w:vertAlign w:val="baseline"/>
          <w:rtl/>
        </w:rPr>
        <w:t>الجديدة</w:t>
      </w:r>
      <w:r w:rsidRPr="00013BFC">
        <w:rPr>
          <w:rStyle w:val="FootnoteReference"/>
          <w:rFonts w:cs="Traditional Arabic"/>
          <w:sz w:val="22"/>
          <w:szCs w:val="22"/>
          <w:vertAlign w:val="baseline"/>
          <w:rtl/>
        </w:rPr>
        <w:t xml:space="preserve"> </w:t>
      </w:r>
      <w:r w:rsidRPr="00013BFC">
        <w:rPr>
          <w:rStyle w:val="FootnoteReference"/>
          <w:rFonts w:cs="Traditional Arabic" w:hint="cs"/>
          <w:sz w:val="22"/>
          <w:szCs w:val="22"/>
          <w:vertAlign w:val="baseline"/>
          <w:rtl/>
        </w:rPr>
        <w:t>للأصول، السيد</w:t>
      </w:r>
      <w:r w:rsidRPr="00013BFC">
        <w:rPr>
          <w:rStyle w:val="FootnoteReference"/>
          <w:rFonts w:cs="Traditional Arabic"/>
          <w:sz w:val="22"/>
          <w:szCs w:val="22"/>
          <w:vertAlign w:val="baseline"/>
          <w:rtl/>
        </w:rPr>
        <w:t xml:space="preserve"> </w:t>
      </w:r>
      <w:r w:rsidRPr="00013BFC">
        <w:rPr>
          <w:rStyle w:val="FootnoteReference"/>
          <w:rFonts w:cs="Traditional Arabic" w:hint="cs"/>
          <w:sz w:val="22"/>
          <w:szCs w:val="22"/>
          <w:vertAlign w:val="baseline"/>
          <w:rtl/>
        </w:rPr>
        <w:t>محمد</w:t>
      </w:r>
      <w:r w:rsidRPr="00013BFC">
        <w:rPr>
          <w:rStyle w:val="FootnoteReference"/>
          <w:rFonts w:cs="Traditional Arabic"/>
          <w:sz w:val="22"/>
          <w:szCs w:val="22"/>
          <w:vertAlign w:val="baseline"/>
          <w:rtl/>
        </w:rPr>
        <w:t xml:space="preserve"> </w:t>
      </w:r>
      <w:r w:rsidRPr="00013BFC">
        <w:rPr>
          <w:rStyle w:val="FootnoteReference"/>
          <w:rFonts w:cs="Traditional Arabic" w:hint="cs"/>
          <w:sz w:val="22"/>
          <w:szCs w:val="22"/>
          <w:vertAlign w:val="baseline"/>
          <w:rtl/>
        </w:rPr>
        <w:t>باقر</w:t>
      </w:r>
      <w:r w:rsidRPr="00013BFC">
        <w:rPr>
          <w:rStyle w:val="FootnoteReference"/>
          <w:rFonts w:cs="Traditional Arabic"/>
          <w:sz w:val="22"/>
          <w:szCs w:val="22"/>
          <w:vertAlign w:val="baseline"/>
          <w:rtl/>
        </w:rPr>
        <w:t xml:space="preserve"> </w:t>
      </w:r>
      <w:r w:rsidRPr="00013BFC">
        <w:rPr>
          <w:rStyle w:val="FootnoteReference"/>
          <w:rFonts w:cs="Traditional Arabic" w:hint="cs"/>
          <w:sz w:val="22"/>
          <w:szCs w:val="22"/>
          <w:vertAlign w:val="baseline"/>
          <w:rtl/>
        </w:rPr>
        <w:t xml:space="preserve">الصدر، ط2، </w:t>
      </w:r>
      <w:r w:rsidRPr="00013BFC">
        <w:rPr>
          <w:rStyle w:val="FootnoteReference"/>
          <w:rFonts w:cs="Traditional Arabic"/>
          <w:sz w:val="22"/>
          <w:szCs w:val="22"/>
          <w:vertAlign w:val="baseline"/>
          <w:rtl/>
        </w:rPr>
        <w:t xml:space="preserve">1975 </w:t>
      </w:r>
      <w:r w:rsidRPr="00013BFC">
        <w:rPr>
          <w:rStyle w:val="FootnoteReference"/>
          <w:rFonts w:cs="Traditional Arabic" w:hint="cs"/>
          <w:sz w:val="22"/>
          <w:szCs w:val="22"/>
          <w:vertAlign w:val="baseline"/>
          <w:rtl/>
        </w:rPr>
        <w:t>م، ص 69 وما بعدها.</w:t>
      </w:r>
      <w:r w:rsidRPr="00013BFC">
        <w:rPr>
          <w:rStyle w:val="FootnoteReference"/>
          <w:rFonts w:cs="Traditional Arabic"/>
          <w:sz w:val="22"/>
          <w:szCs w:val="22"/>
          <w:vertAlign w:val="baseline"/>
        </w:rPr>
        <w:cr/>
      </w:r>
    </w:p>
  </w:footnote>
  <w:footnote w:id="3">
    <w:p w:rsidR="00013BFC" w:rsidRPr="00013BFC" w:rsidRDefault="00013BFC" w:rsidP="00233A29">
      <w:pPr>
        <w:pStyle w:val="FootnoteText"/>
        <w:bidi/>
        <w:rPr>
          <w:rStyle w:val="FootnoteReference"/>
          <w:rFonts w:cs="Traditional Arabic"/>
          <w:sz w:val="22"/>
          <w:szCs w:val="22"/>
          <w:vertAlign w:val="baseline"/>
          <w:rtl/>
        </w:rPr>
      </w:pPr>
      <w:r w:rsidRPr="00013BFC">
        <w:rPr>
          <w:rStyle w:val="FootnoteReference"/>
          <w:rFonts w:cs="Traditional Arabic"/>
          <w:sz w:val="22"/>
          <w:szCs w:val="22"/>
          <w:vertAlign w:val="baseline"/>
        </w:rPr>
        <w:footnoteRef/>
      </w:r>
      <w:r w:rsidRPr="00013BFC">
        <w:rPr>
          <w:rStyle w:val="FootnoteReference"/>
          <w:rFonts w:cs="Traditional Arabic"/>
          <w:sz w:val="22"/>
          <w:szCs w:val="22"/>
          <w:vertAlign w:val="baseline"/>
        </w:rPr>
        <w:t xml:space="preserve"> </w:t>
      </w:r>
      <w:r w:rsidRPr="00013BFC">
        <w:rPr>
          <w:rStyle w:val="FootnoteReference"/>
          <w:rFonts w:cs="Traditional Arabic" w:hint="cs"/>
          <w:sz w:val="22"/>
          <w:szCs w:val="22"/>
          <w:vertAlign w:val="baseline"/>
          <w:rtl/>
        </w:rPr>
        <w:t xml:space="preserve">-راجع: مناهج التجديد، عبد الجبار الرفاعي، مجلة قضايا إسلامية، رقم4، قم، مؤسسة أهل البيت، ج57، ص286. </w:t>
      </w:r>
    </w:p>
  </w:footnote>
  <w:footnote w:id="4">
    <w:p w:rsidR="002362ED" w:rsidRPr="002362ED" w:rsidRDefault="002362ED" w:rsidP="002362ED">
      <w:pPr>
        <w:pStyle w:val="FootnoteText"/>
        <w:bidi/>
        <w:rPr>
          <w:sz w:val="22"/>
          <w:szCs w:val="22"/>
          <w:rtl/>
          <w:lang w:bidi="ar-LB"/>
        </w:rPr>
      </w:pPr>
      <w:r>
        <w:rPr>
          <w:rStyle w:val="FootnoteReference"/>
        </w:rPr>
        <w:footnoteRef/>
      </w:r>
      <w:r>
        <w:t xml:space="preserve"> </w:t>
      </w:r>
      <w:r>
        <w:rPr>
          <w:rFonts w:hint="cs"/>
          <w:rtl/>
        </w:rPr>
        <w:t>-</w:t>
      </w:r>
      <w:r w:rsidRPr="002362ED">
        <w:rPr>
          <w:rFonts w:ascii="Traditional Arabic" w:hAnsi="Traditional Arabic" w:cs="Traditional Arabic" w:hint="cs"/>
          <w:sz w:val="34"/>
          <w:szCs w:val="34"/>
          <w:rtl/>
          <w:lang w:bidi="ar-LB"/>
        </w:rPr>
        <w:t xml:space="preserve"> </w:t>
      </w:r>
      <w:r w:rsidRPr="002362ED">
        <w:rPr>
          <w:rFonts w:ascii="Traditional Arabic" w:hAnsi="Traditional Arabic" w:cs="Traditional Arabic" w:hint="cs"/>
          <w:sz w:val="22"/>
          <w:szCs w:val="22"/>
          <w:rtl/>
          <w:lang w:bidi="ar-LB"/>
        </w:rPr>
        <w:t>المباني النظرية للتحول البنيوي في نظام الجمهورية الإسلامية في إيران</w:t>
      </w:r>
      <w:r>
        <w:rPr>
          <w:rFonts w:ascii="Traditional Arabic" w:hAnsi="Traditional Arabic" w:cs="Traditional Arabic" w:hint="cs"/>
          <w:sz w:val="22"/>
          <w:szCs w:val="22"/>
          <w:rtl/>
          <w:lang w:bidi="ar-LB"/>
        </w:rPr>
        <w:t>، ترجمة وأصدار المؤسسة الإسلامية للتربية والتعليم، بيروت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734B"/>
    <w:rsid w:val="00013BFC"/>
    <w:rsid w:val="00107CFD"/>
    <w:rsid w:val="001C7A92"/>
    <w:rsid w:val="001F19E1"/>
    <w:rsid w:val="00233A29"/>
    <w:rsid w:val="002362ED"/>
    <w:rsid w:val="002B0ED1"/>
    <w:rsid w:val="0038599B"/>
    <w:rsid w:val="0039734B"/>
    <w:rsid w:val="003C3368"/>
    <w:rsid w:val="00443D08"/>
    <w:rsid w:val="0045004D"/>
    <w:rsid w:val="007B76AD"/>
    <w:rsid w:val="007F5820"/>
    <w:rsid w:val="00884CE3"/>
    <w:rsid w:val="008A3AA1"/>
    <w:rsid w:val="008B4446"/>
    <w:rsid w:val="008F5AAF"/>
    <w:rsid w:val="00972CB7"/>
    <w:rsid w:val="00AD3236"/>
    <w:rsid w:val="00AD32E0"/>
    <w:rsid w:val="00BD1378"/>
    <w:rsid w:val="00C26328"/>
    <w:rsid w:val="00DC08C0"/>
    <w:rsid w:val="00E22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4B"/>
  </w:style>
  <w:style w:type="paragraph" w:styleId="Heading1">
    <w:name w:val="heading 1"/>
    <w:basedOn w:val="Normal"/>
    <w:next w:val="Normal"/>
    <w:link w:val="Heading1Char"/>
    <w:uiPriority w:val="9"/>
    <w:qFormat/>
    <w:rsid w:val="00BD1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37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33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A29"/>
    <w:rPr>
      <w:sz w:val="20"/>
      <w:szCs w:val="20"/>
    </w:rPr>
  </w:style>
  <w:style w:type="character" w:styleId="FootnoteReference">
    <w:name w:val="footnote reference"/>
    <w:basedOn w:val="DefaultParagraphFont"/>
    <w:uiPriority w:val="99"/>
    <w:semiHidden/>
    <w:unhideWhenUsed/>
    <w:rsid w:val="00233A2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B9A2-134B-4444-BFBA-E5099F0C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ali22</cp:lastModifiedBy>
  <cp:revision>10</cp:revision>
  <cp:lastPrinted>2020-08-20T10:09:00Z</cp:lastPrinted>
  <dcterms:created xsi:type="dcterms:W3CDTF">2017-06-21T13:27:00Z</dcterms:created>
  <dcterms:modified xsi:type="dcterms:W3CDTF">2020-09-08T09:31:00Z</dcterms:modified>
</cp:coreProperties>
</file>